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A6631B"/>
          <w:sz w:val="19"/>
        </w:rPr>
        <w:t>MODIFIABLE REQUEST FOR PROPOSALS (RFP) TEMPLATE  |  VNA-RFP-017</w:t>
      </w:r>
    </w:p>
    <w:p>
      <w:pPr>
        <w:pStyle w:val="Heading1"/>
      </w:pPr>
      <w:r>
        <w:rPr>
          <w:color w:val="261F14"/>
        </w:rPr>
        <w:t>Request for Proposals (RFP): VMware Exit for Oracle Databases: Migrate vSphere to Oracle Linux KVM, ODA &amp; OCVS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A6631B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VNA-RFP-017 (Companion to Solution Brief VNA-SB-017)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[2026-10-27]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VMware vSphere / ESXi / vSAN / NSX (Broadcom Subscription Lock-In) environment to Oracle Linux KVM / OLVM, ODA KVM Hard Partitioning, or OCVS.</w:t>
      </w:r>
    </w:p>
    <w:p>
      <w:pPr>
        <w:pStyle w:val="ListBullet"/>
      </w:pPr>
      <w:r>
        <w:t>Following Broadcom's acquisition of VMware, perpetual licenses were terminated and customers were forced into bundled VMware Cloud Foundation (VCF) per-core subscriptions at 3x to 8x their historical renewal cost.</w:t>
      </w:r>
    </w:p>
    <w:p>
      <w:pPr>
        <w:pStyle w:val="ListBullet"/>
      </w:pPr>
      <w:r>
        <w:t>Oracle does not recognize VMware vSphere / DRS / vMotion CPU affinity as 'Hard Partitioning.' In an audit, running a 4-vCPU Oracle VM inside a 16-node ESXi cluster connected to shared storage can trigger licensing demands for every physical core in the cluster.</w:t>
      </w:r>
    </w:p>
    <w:p>
      <w:pPr>
        <w:pStyle w:val="ListBullet"/>
      </w:pPr>
      <w:r>
        <w:t>Infrastructure teams need a fast, low-risk path to convert `.vmdk` virtual machines to KVM without breaking enterprise backup, VLAN, and storage workflows.</w:t>
      </w:r>
    </w:p>
    <w:p>
      <w:pPr>
        <w:pStyle w:val="Heading2"/>
      </w:pPr>
      <w:r>
        <w:rPr>
          <w:color w:val="A6631B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A6631B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A6631B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A6631B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VMware vSphere / ESXi / vSAN / NSX (Broadcom Subscription Lock-In)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Oracle Linux KVM / OLVM, ODA KVM Hard Partitioning, or OCVS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Total VMware ESXi Physical Cores in Cluster</w:t>
            </w:r>
          </w:p>
        </w:tc>
        <w:tc>
          <w:tcPr>
            <w:tcW w:type="dxa" w:w="3360"/>
          </w:tcPr>
          <w:p>
            <w:r>
              <w:t>[Insert Count, e.g., 128 ESXi cores]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Actual vCPUs Needed by Oracle Databases</w:t>
            </w:r>
          </w:p>
        </w:tc>
        <w:tc>
          <w:tcPr>
            <w:tcW w:type="dxa" w:w="3360"/>
          </w:tcPr>
          <w:p>
            <w:r>
              <w:t>[Insert Count, e.g., 24 Oracle vCPUs]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A6631B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Three-Lane VMware Exit Strategy Tailored by Workload: Lane A (Database Tier to ODA X11 / Exadata / OCI DB) moves Oracle and SQL Server databases off VMware onto hard-partitioned engineered systems. Lane B (General Linux/Windows VMs to Oracle Linux KVM / OLVM) converts `.vmdk` guests via `virt-v2v` to Oracle Linux Virtualization Manager at zero hypervisor license cost. Lane C (Zero-Refactor OCVS) lifts remaining complex NSX/vSphere estates to Oracle Cloud VMware Solution (OCVS) with full root vCenter control.</w:t>
      </w:r>
    </w:p>
    <w:p>
      <w:pPr>
        <w:pStyle w:val="ListNumber"/>
      </w:pPr>
      <w:r>
        <w:rPr>
          <w:b/>
        </w:rPr>
        <w:t xml:space="preserve">[REQ-ARCH-02] </w:t>
      </w:r>
      <w:r>
        <w:t>Certified Oracle Linux KVM CPU Pinning (`olvm-vmcontrol`): We configure strict physical core pinning on Oracle Linux KVM and ODA KVM so your Oracle Database licenses are legally capped to the exact vCPUs assigned to the VM.</w:t>
      </w:r>
    </w:p>
    <w:p>
      <w:pPr>
        <w:pStyle w:val="ListNumber"/>
      </w:pPr>
      <w:r>
        <w:rPr>
          <w:b/>
        </w:rPr>
        <w:t xml:space="preserve">[REQ-ARCH-03] </w:t>
      </w:r>
      <w:r>
        <w:t>Automated VMDK-to-KVM Migration Factory: Using Virt-V2V, RMAN/GoldenGate (for databases), and OCI Rackware/Cloud Migrations, we migrate hundreds of VMs in waves with automated VirtIO driver injection and network cutover.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Oracle Database VMs on VMware ESXi (Soft Partitioned)</w:t>
            </w:r>
          </w:p>
        </w:tc>
        <w:tc>
          <w:tcPr>
            <w:tcW w:type="dxa" w:w="2520"/>
          </w:tcPr>
          <w:p>
            <w:r>
              <w:t>Oracle Linux KVM (CPU Pinned) / ODA X11 / OCI Base DB</w:t>
            </w:r>
          </w:p>
        </w:tc>
        <w:tc>
          <w:tcPr>
            <w:tcW w:type="dxa" w:w="2520"/>
          </w:tcPr>
          <w:p>
            <w:r>
              <w:t>Hard-Partitioned Core Capping + GoldenGate/RMAN Sync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Linux &amp; Windows Application VMs (`.vmdk`)</w:t>
            </w:r>
          </w:p>
        </w:tc>
        <w:tc>
          <w:tcPr>
            <w:tcW w:type="dxa" w:w="2520"/>
          </w:tcPr>
          <w:p>
            <w:r>
              <w:t>Oracle Linux Virtualization Manager (OLVM / KVM `qcow2`)</w:t>
            </w:r>
          </w:p>
        </w:tc>
        <w:tc>
          <w:tcPr>
            <w:tcW w:type="dxa" w:w="2520"/>
          </w:tcPr>
          <w:p>
            <w:r>
              <w:t>Automated `virt-v2v` Pipeline + VirtIO Injection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VMware vCenter &amp; DRS Management Plane</w:t>
            </w:r>
          </w:p>
        </w:tc>
        <w:tc>
          <w:tcPr>
            <w:tcW w:type="dxa" w:w="2520"/>
          </w:tcPr>
          <w:p>
            <w:r>
              <w:t>Oracle Linux Virtualization Manager (OLVM) + Terraform</w:t>
            </w:r>
          </w:p>
        </w:tc>
        <w:tc>
          <w:tcPr>
            <w:tcW w:type="dxa" w:w="2520"/>
          </w:tcPr>
          <w:p>
            <w:r>
              <w:t>Included with Oracle Linux Premier Support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Complex Legacy VMware Estates Needing Fast DC Exit</w:t>
            </w:r>
          </w:p>
        </w:tc>
        <w:tc>
          <w:tcPr>
            <w:tcW w:type="dxa" w:w="2520"/>
          </w:tcPr>
          <w:p>
            <w:r>
              <w:t>Oracle Cloud VMware Solution (OCVS) Bare-Metal DenseIO</w:t>
            </w:r>
          </w:p>
        </w:tc>
        <w:tc>
          <w:tcPr>
            <w:tcW w:type="dxa" w:w="2520"/>
          </w:tcPr>
          <w:p>
            <w:r>
              <w:t>HCX Live vMotion to Customer-Managed OCI vSphere</w:t>
            </w:r>
          </w:p>
        </w:tc>
      </w:tr>
    </w:tbl>
    <w:p>
      <w:pPr>
        <w:pStyle w:val="Heading2"/>
      </w:pPr>
      <w:r>
        <w:rPr>
          <w:color w:val="A6631B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Does Oracle officially recognize Oracle Linux KVM CPU pinning as Hard Partitioning?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Yes. When configured according to Oracle's Hard Partitioning with Oracle Linux KVM specification (using `olvm-vmcontrol` or ODA KVM to bind vCPUs to dedicated physical cores), you only license the pinned cores, not the entire physical host or cluster.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What if we have legacy VMs that cannot leave VMware before our data center lease expires?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We migrate those workloads via VMware HCX into Oracle Cloud VMware Solution (OCVS), where you retain full Layer-2 networking, root ESXi/vCenter access, and dedicated bare-metal nodes adjacent to OCI native databases.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What is included in the downloadable PDF Solution Brief?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The PDF Solution Brief includes the Oracle LMS Hard-Partitioning Compliance Checklist for KVM/ODA, the 4-step `virt-v2v` migration factory blueprint, and a 3-year TCO comparison of Broadcom VCF vs. OLVM/ODA/OCI.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5: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A6631B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(VNA-RFP-017)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VNA-RFP-017  |  https://vmware-exit-oracle-kvm.web.app/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